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CF" w:rsidRPr="00E25CCF" w:rsidRDefault="00E25CCF" w:rsidP="00E25CCF">
      <w:pPr>
        <w:spacing w:after="0" w:line="540" w:lineRule="atLeast"/>
        <w:textAlignment w:val="center"/>
        <w:outlineLvl w:val="0"/>
        <w:rPr>
          <w:rFonts w:ascii="Arial" w:eastAsia="Times New Roman" w:hAnsi="Arial" w:cs="Arial"/>
          <w:color w:val="0D4689"/>
          <w:kern w:val="36"/>
          <w:sz w:val="48"/>
          <w:szCs w:val="48"/>
          <w:lang w:eastAsia="tr-TR"/>
        </w:rPr>
      </w:pPr>
      <w:r w:rsidRPr="00E25CCF">
        <w:rPr>
          <w:rFonts w:ascii="Arial" w:eastAsia="Times New Roman" w:hAnsi="Arial" w:cs="Arial"/>
          <w:color w:val="0D4689"/>
          <w:kern w:val="36"/>
          <w:sz w:val="48"/>
          <w:szCs w:val="48"/>
          <w:lang w:eastAsia="tr-TR"/>
        </w:rPr>
        <w:t xml:space="preserve">WHO </w:t>
      </w:r>
      <w:proofErr w:type="spellStart"/>
      <w:r w:rsidRPr="00E25CCF">
        <w:rPr>
          <w:rFonts w:ascii="Arial" w:eastAsia="Times New Roman" w:hAnsi="Arial" w:cs="Arial"/>
          <w:color w:val="0D4689"/>
          <w:kern w:val="36"/>
          <w:sz w:val="48"/>
          <w:szCs w:val="48"/>
          <w:lang w:eastAsia="tr-TR"/>
        </w:rPr>
        <w:t>official</w:t>
      </w:r>
      <w:proofErr w:type="spellEnd"/>
      <w:r w:rsidRPr="00E25CCF">
        <w:rPr>
          <w:rFonts w:ascii="Arial" w:eastAsia="Times New Roman" w:hAnsi="Arial" w:cs="Arial"/>
          <w:color w:val="0D4689"/>
          <w:kern w:val="36"/>
          <w:sz w:val="48"/>
          <w:szCs w:val="4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0D4689"/>
          <w:kern w:val="36"/>
          <w:sz w:val="48"/>
          <w:szCs w:val="48"/>
          <w:lang w:eastAsia="tr-TR"/>
        </w:rPr>
        <w:t>position</w:t>
      </w:r>
      <w:proofErr w:type="spellEnd"/>
    </w:p>
    <w:p w:rsidR="00E25CCF" w:rsidRPr="00E25CCF" w:rsidRDefault="00E25CCF" w:rsidP="00E25CCF">
      <w:pPr>
        <w:spacing w:before="150" w:after="0" w:line="315" w:lineRule="atLeast"/>
        <w:textAlignment w:val="center"/>
        <w:outlineLvl w:val="1"/>
        <w:rPr>
          <w:rFonts w:ascii="Arial" w:eastAsia="Times New Roman" w:hAnsi="Arial" w:cs="Arial"/>
          <w:color w:val="AAAAAA"/>
          <w:sz w:val="27"/>
          <w:szCs w:val="27"/>
          <w:lang w:eastAsia="tr-TR"/>
        </w:rPr>
      </w:pPr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 xml:space="preserve">Author: </w:t>
      </w:r>
      <w:proofErr w:type="spellStart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>Bartosz</w:t>
      </w:r>
      <w:proofErr w:type="spellEnd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>Chmielnicki</w:t>
      </w:r>
      <w:proofErr w:type="spellEnd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 xml:space="preserve"> MD (</w:t>
      </w:r>
      <w:proofErr w:type="spellStart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>translation</w:t>
      </w:r>
      <w:proofErr w:type="spellEnd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 xml:space="preserve">: </w:t>
      </w:r>
      <w:proofErr w:type="spellStart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>Elżbieta</w:t>
      </w:r>
      <w:proofErr w:type="spellEnd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>Torbus</w:t>
      </w:r>
      <w:proofErr w:type="spellEnd"/>
      <w:r w:rsidRPr="00E25CCF">
        <w:rPr>
          <w:rFonts w:ascii="Arial" w:eastAsia="Times New Roman" w:hAnsi="Arial" w:cs="Arial"/>
          <w:color w:val="AAAAAA"/>
          <w:sz w:val="27"/>
          <w:szCs w:val="27"/>
          <w:lang w:eastAsia="tr-TR"/>
        </w:rPr>
        <w:t>)</w:t>
      </w:r>
    </w:p>
    <w:p w:rsidR="00E25CCF" w:rsidRDefault="00E25CCF" w:rsidP="00E25CCF">
      <w:pPr>
        <w:spacing w:after="0" w:line="345" w:lineRule="atLeast"/>
        <w:textAlignment w:val="top"/>
        <w:rPr>
          <w:rFonts w:ascii="Arial" w:eastAsia="Times New Roman" w:hAnsi="Arial" w:cs="Arial"/>
          <w:b/>
          <w:bCs/>
          <w:i/>
          <w:iCs/>
          <w:color w:val="565656"/>
          <w:sz w:val="18"/>
          <w:szCs w:val="18"/>
          <w:lang w:eastAsia="tr-TR"/>
        </w:rPr>
      </w:pPr>
    </w:p>
    <w:p w:rsidR="00E25CCF" w:rsidRPr="00E25CCF" w:rsidRDefault="00E25CCF" w:rsidP="00E25CCF">
      <w:pPr>
        <w:spacing w:after="0" w:line="345" w:lineRule="atLeast"/>
        <w:textAlignment w:val="top"/>
        <w:rPr>
          <w:rFonts w:ascii="Arial" w:eastAsia="Times New Roman" w:hAnsi="Arial" w:cs="Arial"/>
          <w:color w:val="565656"/>
          <w:sz w:val="18"/>
          <w:szCs w:val="18"/>
          <w:lang w:eastAsia="tr-TR"/>
        </w:rPr>
      </w:pPr>
      <w:proofErr w:type="spellStart"/>
      <w:r w:rsidRPr="00E25CCF">
        <w:rPr>
          <w:rFonts w:ascii="Arial" w:eastAsia="Times New Roman" w:hAnsi="Arial" w:cs="Arial"/>
          <w:b/>
          <w:bCs/>
          <w:i/>
          <w:iCs/>
          <w:color w:val="565656"/>
          <w:sz w:val="18"/>
          <w:szCs w:val="18"/>
          <w:lang w:eastAsia="tr-TR"/>
        </w:rPr>
        <w:t>Summary</w:t>
      </w:r>
      <w:proofErr w:type="spellEnd"/>
    </w:p>
    <w:p w:rsidR="00E25CCF" w:rsidRPr="00E25CCF" w:rsidRDefault="00E25CCF" w:rsidP="00E25CCF">
      <w:pPr>
        <w:spacing w:after="0" w:line="345" w:lineRule="atLeast"/>
        <w:textAlignment w:val="top"/>
        <w:rPr>
          <w:rFonts w:ascii="Arial" w:eastAsia="Times New Roman" w:hAnsi="Arial" w:cs="Arial"/>
          <w:color w:val="565656"/>
          <w:sz w:val="18"/>
          <w:szCs w:val="18"/>
          <w:lang w:eastAsia="tr-TR"/>
        </w:rPr>
      </w:pP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In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2003 World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Health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Organization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published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a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report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about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clinical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trials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researching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effectiveness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More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than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one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hundred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indication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were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discussed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divided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into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four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groups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concerning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strength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existing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evidence</w:t>
      </w:r>
      <w:proofErr w:type="spellEnd"/>
      <w:r w:rsidRPr="00E25CCF">
        <w:rPr>
          <w:rFonts w:ascii="Arial" w:eastAsia="Times New Roman" w:hAnsi="Arial" w:cs="Arial"/>
          <w:i/>
          <w:iCs/>
          <w:color w:val="565656"/>
          <w:sz w:val="18"/>
          <w:szCs w:val="18"/>
          <w:lang w:eastAsia="tr-TR"/>
        </w:rPr>
        <w:t>.</w:t>
      </w:r>
    </w:p>
    <w:p w:rsidR="00E25CCF" w:rsidRPr="00E25CCF" w:rsidRDefault="00E25CCF" w:rsidP="00E25CCF">
      <w:pPr>
        <w:spacing w:after="0" w:line="0" w:lineRule="auto"/>
        <w:rPr>
          <w:rFonts w:ascii="Arial" w:eastAsia="Times New Roman" w:hAnsi="Arial" w:cs="Arial"/>
          <w:color w:val="565656"/>
          <w:sz w:val="2"/>
          <w:szCs w:val="2"/>
          <w:lang w:eastAsia="tr-TR"/>
        </w:rPr>
      </w:pPr>
      <w:r w:rsidRPr="00E25CCF">
        <w:rPr>
          <w:rFonts w:ascii="Arial" w:eastAsia="Times New Roman" w:hAnsi="Arial" w:cs="Arial"/>
          <w:color w:val="565656"/>
          <w:sz w:val="2"/>
          <w:szCs w:val="2"/>
          <w:lang w:eastAsia="tr-TR"/>
        </w:rPr>
        <w:t> </w:t>
      </w:r>
    </w:p>
    <w:p w:rsidR="00E25CCF" w:rsidRDefault="00E25CCF" w:rsidP="00E25CCF">
      <w:pPr>
        <w:spacing w:after="0" w:line="360" w:lineRule="atLeast"/>
        <w:textAlignment w:val="top"/>
        <w:rPr>
          <w:rFonts w:ascii="Arial" w:eastAsia="Times New Roman" w:hAnsi="Arial" w:cs="Arial"/>
          <w:color w:val="0D4689"/>
          <w:sz w:val="32"/>
          <w:szCs w:val="32"/>
          <w:lang w:eastAsia="tr-TR"/>
        </w:rPr>
      </w:pPr>
    </w:p>
    <w:p w:rsidR="00E25CCF" w:rsidRPr="00E25CCF" w:rsidRDefault="00E25CCF" w:rsidP="00E25CCF">
      <w:pPr>
        <w:spacing w:after="0" w:line="360" w:lineRule="atLeast"/>
        <w:textAlignment w:val="top"/>
        <w:rPr>
          <w:rFonts w:ascii="Arial" w:eastAsia="Times New Roman" w:hAnsi="Arial" w:cs="Arial"/>
          <w:color w:val="0D4689"/>
          <w:sz w:val="32"/>
          <w:szCs w:val="32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0D4689"/>
          <w:sz w:val="32"/>
          <w:szCs w:val="32"/>
          <w:lang w:eastAsia="tr-TR"/>
        </w:rPr>
        <w:t>Introduction</w:t>
      </w:r>
      <w:proofErr w:type="spellEnd"/>
    </w:p>
    <w:p w:rsidR="00E25CCF" w:rsidRPr="00E25CCF" w:rsidRDefault="00E25CCF" w:rsidP="00E25CCF">
      <w:pPr>
        <w:spacing w:after="0" w:line="345" w:lineRule="atLeast"/>
        <w:jc w:val="both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was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June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1979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when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World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Health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Organisation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conducted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a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symposium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Bejing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China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Doctors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participated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symposium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created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a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list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43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that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might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benefit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from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list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however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was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not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based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well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design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clinical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trials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with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appropriate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control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performing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such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studies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was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mentioned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.</w:t>
      </w:r>
    </w:p>
    <w:p w:rsidR="00E25CCF" w:rsidRPr="00E25CCF" w:rsidRDefault="00E25CCF" w:rsidP="00E25CCF">
      <w:pPr>
        <w:spacing w:after="0" w:line="345" w:lineRule="atLeast"/>
        <w:jc w:val="both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Almost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twenty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years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later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in 1997,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National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Institutes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Health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published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Consensus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Statement,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summarizing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state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knowledge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drawn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from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clinical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trial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concerning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efficacy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Authors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concluded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that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were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“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promising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results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showing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efficacy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adult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postoperative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chemotherapy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nausea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vomiting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postoperative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dental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”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other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conditions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mostly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various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kinds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“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might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be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useful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as an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adjunct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treatment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an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acceptable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alternative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”</w:t>
      </w:r>
    </w:p>
    <w:p w:rsidR="00E25CCF" w:rsidRPr="00E25CCF" w:rsidRDefault="00E25CCF" w:rsidP="00E25CCF">
      <w:pPr>
        <w:spacing w:line="345" w:lineRule="atLeast"/>
        <w:jc w:val="both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One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year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before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publication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statement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mentioned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 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above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meeting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scientists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called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WHO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Consultation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was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organized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beautiful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Italian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town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Cervia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That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meeting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resulted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creation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official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report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effectiveness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based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on </w:t>
      </w:r>
      <w:proofErr w:type="gram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data</w:t>
      </w:r>
      <w:proofErr w:type="gram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from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controlled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clinical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trials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report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was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finally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published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2003.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results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255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trials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published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before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1998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beginning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1999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were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included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.  </w:t>
      </w:r>
    </w:p>
    <w:p w:rsidR="00E25CCF" w:rsidRPr="00E25CCF" w:rsidRDefault="00E25CCF" w:rsidP="00E25CCF">
      <w:pPr>
        <w:spacing w:after="0" w:line="0" w:lineRule="auto"/>
        <w:rPr>
          <w:rFonts w:ascii="Arial" w:eastAsia="Times New Roman" w:hAnsi="Arial" w:cs="Arial"/>
          <w:color w:val="565656"/>
          <w:sz w:val="2"/>
          <w:szCs w:val="2"/>
          <w:lang w:eastAsia="tr-TR"/>
        </w:rPr>
      </w:pPr>
      <w:r w:rsidRPr="00E25CCF">
        <w:rPr>
          <w:rFonts w:ascii="Arial" w:eastAsia="Times New Roman" w:hAnsi="Arial" w:cs="Arial"/>
          <w:color w:val="565656"/>
          <w:sz w:val="2"/>
          <w:szCs w:val="2"/>
          <w:lang w:eastAsia="tr-TR"/>
        </w:rPr>
        <w:t> </w:t>
      </w:r>
    </w:p>
    <w:p w:rsidR="00E25CCF" w:rsidRPr="00E25CCF" w:rsidRDefault="00E25CCF" w:rsidP="00E25CCF">
      <w:pPr>
        <w:spacing w:after="0" w:line="360" w:lineRule="atLeast"/>
        <w:textAlignment w:val="top"/>
        <w:rPr>
          <w:rFonts w:ascii="Arial" w:eastAsia="Times New Roman" w:hAnsi="Arial" w:cs="Arial"/>
          <w:color w:val="0D4689"/>
          <w:sz w:val="32"/>
          <w:szCs w:val="32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0D4689"/>
          <w:sz w:val="32"/>
          <w:szCs w:val="32"/>
          <w:lang w:eastAsia="tr-TR"/>
        </w:rPr>
        <w:t>Indications</w:t>
      </w:r>
      <w:proofErr w:type="spellEnd"/>
    </w:p>
    <w:p w:rsidR="00E25CCF" w:rsidRPr="00E25CCF" w:rsidRDefault="00E25CCF" w:rsidP="00E25CCF">
      <w:pPr>
        <w:spacing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symptoms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conditions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which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has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been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proved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–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through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controlled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trials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—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be an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effective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treatment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:</w:t>
      </w:r>
    </w:p>
    <w:p w:rsidR="00E25CCF" w:rsidRPr="00E25CCF" w:rsidRDefault="00E25CCF" w:rsidP="00E25CCF">
      <w:pPr>
        <w:numPr>
          <w:ilvl w:val="0"/>
          <w:numId w:val="1"/>
        </w:numPr>
        <w:spacing w:after="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Adverse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reactions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radiotherapy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/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chemotherapy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Allergic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rhinitis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including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hay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fever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Biliary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colic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Depression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including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depressive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neurosis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depression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following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stroke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Dysentery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bacillary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Dysmenorrhoea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primary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Epigastralgia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peptic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ulcer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chronic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gastritis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gastrospasm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lastRenderedPageBreak/>
        <w:t>Facial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including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craniomandibular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disorders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1"/>
        </w:numPr>
        <w:spacing w:after="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Headache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Hypertension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essential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Hypotension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primary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Induction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labour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Knee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Leukopenia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Low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back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Malposition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fetus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correction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</w:t>
      </w:r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Morning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sickness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Nausea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vomiting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Neck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dentistry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including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dental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temporomandibular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dysfunction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Periarthritis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shoulder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Postoperative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Renal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colic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Rheumatoid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arthritis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Sciatica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Sprain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Stroke</w:t>
      </w:r>
      <w:proofErr w:type="spellEnd"/>
    </w:p>
    <w:p w:rsidR="00E25CCF" w:rsidRPr="00E25CCF" w:rsidRDefault="00E25CCF" w:rsidP="00E25CCF">
      <w:pPr>
        <w:numPr>
          <w:ilvl w:val="0"/>
          <w:numId w:val="1"/>
        </w:numPr>
        <w:spacing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Tennis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elbow</w:t>
      </w:r>
      <w:proofErr w:type="spellEnd"/>
    </w:p>
    <w:p w:rsidR="00E25CCF" w:rsidRPr="00E25CCF" w:rsidRDefault="00E25CCF" w:rsidP="00E25CCF">
      <w:pPr>
        <w:spacing w:after="0" w:line="0" w:lineRule="auto"/>
        <w:rPr>
          <w:rFonts w:ascii="Arial" w:eastAsia="Times New Roman" w:hAnsi="Arial" w:cs="Arial"/>
          <w:color w:val="565656"/>
          <w:sz w:val="2"/>
          <w:szCs w:val="2"/>
          <w:lang w:eastAsia="tr-TR"/>
        </w:rPr>
      </w:pPr>
      <w:r w:rsidRPr="00E25CCF">
        <w:rPr>
          <w:rFonts w:ascii="Arial" w:eastAsia="Times New Roman" w:hAnsi="Arial" w:cs="Arial"/>
          <w:color w:val="565656"/>
          <w:sz w:val="2"/>
          <w:szCs w:val="2"/>
          <w:lang w:eastAsia="tr-TR"/>
        </w:rPr>
        <w:t> </w:t>
      </w:r>
    </w:p>
    <w:p w:rsidR="00E25CCF" w:rsidRPr="00E25CCF" w:rsidRDefault="00E25CCF" w:rsidP="00E25CCF">
      <w:pPr>
        <w:spacing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symptoms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conditions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which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therapeutic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effect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has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been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shown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but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which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further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proof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needed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:</w:t>
      </w:r>
    </w:p>
    <w:p w:rsidR="00E25CCF" w:rsidRPr="00E25CCF" w:rsidRDefault="00E25CCF" w:rsidP="00E25CCF">
      <w:pPr>
        <w:numPr>
          <w:ilvl w:val="0"/>
          <w:numId w:val="2"/>
        </w:numPr>
        <w:spacing w:after="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Abdominal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gastroenteritis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due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gastrointestinal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spasm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Acne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vulgaris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Alcohol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dependence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detoxification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Bell’s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palsy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Bronchial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asthma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Cancer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lastRenderedPageBreak/>
        <w:t>Cardiac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neurosis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Cholecystitis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chronic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with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exacerbation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Cholelithiasis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Competition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stress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Craniocerebral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injury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closed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Diabetes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mellitus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non-insulin-dependent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Earache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Epidemic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haemorrhagic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fever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Epistaxis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simple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without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generalized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local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Eye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due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subconjunctival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injection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Female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infertility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Facial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spasm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Female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urethral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Fibromyalgia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fasciitis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Gastrokinetic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disturbance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Gouty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arthritis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Hepatitis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B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virus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carrier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status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Herpes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zoster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human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alpha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)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herpesvirus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3)</w:t>
      </w:r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Hyperlipaemia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Hypo-ovarianism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Insomnia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Labour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Lactation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deficiency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Male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sexual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dysfunction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non-organic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Ménière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Neuralgia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, post-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herpetic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Neurodermatitis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Obesity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lastRenderedPageBreak/>
        <w:t>Opium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cocaine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heroin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dependence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Osteoarthritis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due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endoscopic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examination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thromboangiitis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obliterans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Polycystic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ovary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Stein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–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Leventhal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Postextubation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children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Postoperative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convalescence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Premenstrual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Prostatitis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chronic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Pruritus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Radicular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pseudoradicular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Raynaud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primary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Recurrent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lower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urinary-tract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infection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Reflex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sympathetic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dystrophy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Retention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urine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traumatic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Schizophrenia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Sialism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drug-induced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Sjögren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Sore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throat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including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tonsillitis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Spine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pain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acute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Stiff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neck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Temporomandibular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joint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dysfunction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Tietze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Tobacco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dependence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Tourette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Ulcerative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colitis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chronic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Urolithiasis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Vascular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dementia</w:t>
      </w:r>
      <w:proofErr w:type="spellEnd"/>
    </w:p>
    <w:p w:rsidR="00E25CCF" w:rsidRPr="00E25CCF" w:rsidRDefault="00E25CCF" w:rsidP="00E25CCF">
      <w:pPr>
        <w:numPr>
          <w:ilvl w:val="0"/>
          <w:numId w:val="2"/>
        </w:numPr>
        <w:spacing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lastRenderedPageBreak/>
        <w:t>Whooping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cough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pertussis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spacing w:after="0" w:line="0" w:lineRule="auto"/>
        <w:rPr>
          <w:rFonts w:ascii="Arial" w:eastAsia="Times New Roman" w:hAnsi="Arial" w:cs="Arial"/>
          <w:color w:val="565656"/>
          <w:sz w:val="2"/>
          <w:szCs w:val="2"/>
          <w:lang w:eastAsia="tr-TR"/>
        </w:rPr>
      </w:pPr>
      <w:r w:rsidRPr="00E25CCF">
        <w:rPr>
          <w:rFonts w:ascii="Arial" w:eastAsia="Times New Roman" w:hAnsi="Arial" w:cs="Arial"/>
          <w:color w:val="565656"/>
          <w:sz w:val="2"/>
          <w:szCs w:val="2"/>
          <w:lang w:eastAsia="tr-TR"/>
        </w:rPr>
        <w:t> </w:t>
      </w:r>
    </w:p>
    <w:p w:rsidR="00E25CCF" w:rsidRPr="00E25CCF" w:rsidRDefault="00E25CCF" w:rsidP="00E25CCF">
      <w:pPr>
        <w:spacing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symptoms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conditions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which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only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individual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controlled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trials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reporting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some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therapeutic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effects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but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which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worth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trying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because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treatment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conventional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other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therapies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difficult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:</w:t>
      </w:r>
    </w:p>
    <w:p w:rsidR="00E25CCF" w:rsidRPr="00E25CCF" w:rsidRDefault="00E25CCF" w:rsidP="00E25CCF">
      <w:pPr>
        <w:numPr>
          <w:ilvl w:val="0"/>
          <w:numId w:val="3"/>
        </w:numPr>
        <w:spacing w:after="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Chloasma</w:t>
      </w:r>
      <w:proofErr w:type="spellEnd"/>
    </w:p>
    <w:p w:rsidR="00E25CCF" w:rsidRPr="00E25CCF" w:rsidRDefault="00E25CCF" w:rsidP="00E25CCF">
      <w:pPr>
        <w:numPr>
          <w:ilvl w:val="0"/>
          <w:numId w:val="3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Choroidopathy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central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serous</w:t>
      </w:r>
      <w:proofErr w:type="spellEnd"/>
    </w:p>
    <w:p w:rsidR="00E25CCF" w:rsidRPr="00E25CCF" w:rsidRDefault="00E25CCF" w:rsidP="00E25CCF">
      <w:pPr>
        <w:numPr>
          <w:ilvl w:val="0"/>
          <w:numId w:val="3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Colour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blindness</w:t>
      </w:r>
      <w:proofErr w:type="spellEnd"/>
    </w:p>
    <w:p w:rsidR="00E25CCF" w:rsidRPr="00E25CCF" w:rsidRDefault="00E25CCF" w:rsidP="00E25CCF">
      <w:pPr>
        <w:numPr>
          <w:ilvl w:val="0"/>
          <w:numId w:val="3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Deafness</w:t>
      </w:r>
      <w:proofErr w:type="spellEnd"/>
    </w:p>
    <w:p w:rsidR="00E25CCF" w:rsidRPr="00E25CCF" w:rsidRDefault="00E25CCF" w:rsidP="00E25CCF">
      <w:pPr>
        <w:numPr>
          <w:ilvl w:val="0"/>
          <w:numId w:val="3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Hypophrenia</w:t>
      </w:r>
      <w:proofErr w:type="spellEnd"/>
    </w:p>
    <w:p w:rsidR="00E25CCF" w:rsidRPr="00E25CCF" w:rsidRDefault="00E25CCF" w:rsidP="00E25CCF">
      <w:pPr>
        <w:numPr>
          <w:ilvl w:val="0"/>
          <w:numId w:val="3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Irritable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colon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syndrome</w:t>
      </w:r>
      <w:proofErr w:type="spellEnd"/>
    </w:p>
    <w:p w:rsidR="00E25CCF" w:rsidRPr="00E25CCF" w:rsidRDefault="00E25CCF" w:rsidP="00E25CCF">
      <w:pPr>
        <w:numPr>
          <w:ilvl w:val="0"/>
          <w:numId w:val="3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Neuropathic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bladder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spinal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cord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injury</w:t>
      </w:r>
      <w:proofErr w:type="spellEnd"/>
    </w:p>
    <w:p w:rsidR="00E25CCF" w:rsidRPr="00E25CCF" w:rsidRDefault="00E25CCF" w:rsidP="00E25CCF">
      <w:pPr>
        <w:numPr>
          <w:ilvl w:val="0"/>
          <w:numId w:val="3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Pulmonary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heart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chronic</w:t>
      </w:r>
      <w:proofErr w:type="spellEnd"/>
    </w:p>
    <w:p w:rsidR="00E25CCF" w:rsidRPr="00E25CCF" w:rsidRDefault="00E25CCF" w:rsidP="00E25CCF">
      <w:pPr>
        <w:numPr>
          <w:ilvl w:val="0"/>
          <w:numId w:val="3"/>
        </w:numPr>
        <w:spacing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Small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airway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obstruction</w:t>
      </w:r>
      <w:proofErr w:type="spellEnd"/>
    </w:p>
    <w:p w:rsidR="00E25CCF" w:rsidRPr="00E25CCF" w:rsidRDefault="00E25CCF" w:rsidP="00E25CCF">
      <w:pPr>
        <w:spacing w:after="0" w:line="0" w:lineRule="auto"/>
        <w:rPr>
          <w:rFonts w:ascii="Arial" w:eastAsia="Times New Roman" w:hAnsi="Arial" w:cs="Arial"/>
          <w:color w:val="565656"/>
          <w:sz w:val="2"/>
          <w:szCs w:val="2"/>
          <w:lang w:eastAsia="tr-TR"/>
        </w:rPr>
      </w:pPr>
      <w:r w:rsidRPr="00E25CCF">
        <w:rPr>
          <w:rFonts w:ascii="Arial" w:eastAsia="Times New Roman" w:hAnsi="Arial" w:cs="Arial"/>
          <w:color w:val="565656"/>
          <w:sz w:val="2"/>
          <w:szCs w:val="2"/>
          <w:lang w:eastAsia="tr-TR"/>
        </w:rPr>
        <w:t> </w:t>
      </w:r>
    </w:p>
    <w:p w:rsidR="00E25CCF" w:rsidRPr="00E25CCF" w:rsidRDefault="00E25CCF" w:rsidP="00E25CCF">
      <w:pPr>
        <w:spacing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symptoms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conditions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which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may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be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tried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provided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practitioner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has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special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modern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medical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knowledge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adequate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monitoring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equipment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:</w:t>
      </w:r>
    </w:p>
    <w:p w:rsidR="00E25CCF" w:rsidRPr="00E25CCF" w:rsidRDefault="00E25CCF" w:rsidP="00E25CCF">
      <w:pPr>
        <w:numPr>
          <w:ilvl w:val="0"/>
          <w:numId w:val="4"/>
        </w:numPr>
        <w:spacing w:after="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bookmarkStart w:id="0" w:name="_GoBack"/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Breathlessness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chronic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obstructive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pulmonary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</w:t>
      </w:r>
      <w:proofErr w:type="spellEnd"/>
    </w:p>
    <w:p w:rsidR="00E25CCF" w:rsidRPr="00E25CCF" w:rsidRDefault="00E25CCF" w:rsidP="00E25CCF">
      <w:pPr>
        <w:numPr>
          <w:ilvl w:val="0"/>
          <w:numId w:val="4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Coma</w:t>
      </w:r>
      <w:proofErr w:type="spellEnd"/>
    </w:p>
    <w:p w:rsidR="00E25CCF" w:rsidRPr="00E25CCF" w:rsidRDefault="00E25CCF" w:rsidP="00E25CCF">
      <w:pPr>
        <w:numPr>
          <w:ilvl w:val="0"/>
          <w:numId w:val="4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Convulsions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infants</w:t>
      </w:r>
      <w:proofErr w:type="spellEnd"/>
    </w:p>
    <w:p w:rsidR="00E25CCF" w:rsidRPr="00E25CCF" w:rsidRDefault="00E25CCF" w:rsidP="00E25CCF">
      <w:pPr>
        <w:numPr>
          <w:ilvl w:val="0"/>
          <w:numId w:val="4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Coronary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heart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(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angina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pectoris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)</w:t>
      </w:r>
    </w:p>
    <w:p w:rsidR="00E25CCF" w:rsidRPr="00E25CCF" w:rsidRDefault="00E25CCF" w:rsidP="00E25CCF">
      <w:pPr>
        <w:numPr>
          <w:ilvl w:val="0"/>
          <w:numId w:val="4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Diarrhoea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infants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young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children</w:t>
      </w:r>
      <w:proofErr w:type="spellEnd"/>
    </w:p>
    <w:p w:rsidR="00E25CCF" w:rsidRPr="00E25CCF" w:rsidRDefault="00E25CCF" w:rsidP="00E25CCF">
      <w:pPr>
        <w:numPr>
          <w:ilvl w:val="0"/>
          <w:numId w:val="4"/>
        </w:numPr>
        <w:spacing w:after="150"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Encephalitis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viral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children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late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stage</w:t>
      </w:r>
      <w:proofErr w:type="spellEnd"/>
    </w:p>
    <w:p w:rsidR="00E25CCF" w:rsidRPr="00E25CCF" w:rsidRDefault="00E25CCF" w:rsidP="00E25CCF">
      <w:pPr>
        <w:numPr>
          <w:ilvl w:val="0"/>
          <w:numId w:val="4"/>
        </w:numPr>
        <w:spacing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Paralysis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progressive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bulbar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pseudobulbar</w:t>
      </w:r>
      <w:proofErr w:type="spellEnd"/>
    </w:p>
    <w:bookmarkEnd w:id="0"/>
    <w:p w:rsidR="00E25CCF" w:rsidRPr="00E25CCF" w:rsidRDefault="00E25CCF" w:rsidP="00E25CCF">
      <w:pPr>
        <w:spacing w:after="0" w:line="0" w:lineRule="auto"/>
        <w:rPr>
          <w:rFonts w:ascii="Arial" w:eastAsia="Times New Roman" w:hAnsi="Arial" w:cs="Arial"/>
          <w:color w:val="565656"/>
          <w:sz w:val="2"/>
          <w:szCs w:val="2"/>
          <w:lang w:eastAsia="tr-TR"/>
        </w:rPr>
      </w:pPr>
      <w:r w:rsidRPr="00E25CCF">
        <w:rPr>
          <w:rFonts w:ascii="Arial" w:eastAsia="Times New Roman" w:hAnsi="Arial" w:cs="Arial"/>
          <w:color w:val="565656"/>
          <w:sz w:val="2"/>
          <w:szCs w:val="2"/>
          <w:lang w:eastAsia="tr-TR"/>
        </w:rPr>
        <w:t> </w:t>
      </w:r>
    </w:p>
    <w:p w:rsidR="00E25CCF" w:rsidRPr="00E25CCF" w:rsidRDefault="00E25CCF" w:rsidP="00E25CCF">
      <w:pPr>
        <w:spacing w:after="0" w:line="345" w:lineRule="atLeast"/>
        <w:jc w:val="both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Described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report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only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official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WHO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opinion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about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effectiveness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Nevertheless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level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evidence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existing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1998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was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not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high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Authors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included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findings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from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Chinese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trials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which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were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not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evaluated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as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highly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reliable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that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reason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report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itself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was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criticized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many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scholars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. </w:t>
      </w:r>
    </w:p>
    <w:p w:rsidR="00E25CCF" w:rsidRPr="00E25CCF" w:rsidRDefault="00E25CCF" w:rsidP="00E25CCF">
      <w:pPr>
        <w:spacing w:line="345" w:lineRule="atLeast"/>
        <w:jc w:val="both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Authors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first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WHO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report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shall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will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be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remembered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forever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as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brave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scientists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dared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prepare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wide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review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evidence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based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gram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data</w:t>
      </w:r>
      <w:proofErr w:type="gram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concerning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method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which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was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not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thought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as “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scientific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”.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Their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work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was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literally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groundbreaking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begun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a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revolution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perception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amount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well-designed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published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randomized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controlled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trials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started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growing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rapidly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XXI c.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During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last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fifteen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years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results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many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RCTs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were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published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as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well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as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metaanalyses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lastRenderedPageBreak/>
        <w:t>effectiveness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treatment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various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diseases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.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Existing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level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evidence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much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higher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than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in 1999. </w:t>
      </w:r>
    </w:p>
    <w:p w:rsidR="00E25CCF" w:rsidRPr="00E25CCF" w:rsidRDefault="00E25CCF" w:rsidP="00E25CCF">
      <w:pPr>
        <w:spacing w:line="345" w:lineRule="atLeast"/>
        <w:textAlignment w:val="top"/>
        <w:rPr>
          <w:rFonts w:ascii="Arial" w:eastAsia="Times New Roman" w:hAnsi="Arial" w:cs="Arial"/>
          <w:color w:val="565656"/>
          <w:sz w:val="23"/>
          <w:szCs w:val="23"/>
          <w:lang w:eastAsia="tr-TR"/>
        </w:rPr>
      </w:pP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This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website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is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designed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to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show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current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available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evidence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concerning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the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effectiveness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,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safety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and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economic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evaluation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 xml:space="preserve"> of </w:t>
      </w:r>
      <w:proofErr w:type="spellStart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acupuncture</w:t>
      </w:r>
      <w:proofErr w:type="spellEnd"/>
      <w:r w:rsidRPr="00E25CCF">
        <w:rPr>
          <w:rFonts w:ascii="Arial" w:eastAsia="Times New Roman" w:hAnsi="Arial" w:cs="Arial"/>
          <w:color w:val="565656"/>
          <w:sz w:val="23"/>
          <w:szCs w:val="23"/>
          <w:lang w:eastAsia="tr-TR"/>
        </w:rPr>
        <w:t>.</w:t>
      </w:r>
    </w:p>
    <w:p w:rsidR="00E25CCF" w:rsidRPr="00E25CCF" w:rsidRDefault="00E25CCF" w:rsidP="00E25CCF">
      <w:pPr>
        <w:spacing w:after="0" w:line="0" w:lineRule="auto"/>
        <w:rPr>
          <w:rFonts w:ascii="Arial" w:eastAsia="Times New Roman" w:hAnsi="Arial" w:cs="Arial"/>
          <w:color w:val="565656"/>
          <w:sz w:val="2"/>
          <w:szCs w:val="2"/>
          <w:lang w:eastAsia="tr-TR"/>
        </w:rPr>
      </w:pPr>
      <w:r w:rsidRPr="00E25CCF">
        <w:rPr>
          <w:rFonts w:ascii="Arial" w:eastAsia="Times New Roman" w:hAnsi="Arial" w:cs="Arial"/>
          <w:color w:val="565656"/>
          <w:sz w:val="2"/>
          <w:szCs w:val="2"/>
          <w:lang w:eastAsia="tr-TR"/>
        </w:rPr>
        <w:t> </w:t>
      </w:r>
    </w:p>
    <w:p w:rsidR="00794A56" w:rsidRDefault="00794A56"/>
    <w:sectPr w:rsidR="0079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37135"/>
    <w:multiLevelType w:val="multilevel"/>
    <w:tmpl w:val="CDF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BC5640"/>
    <w:multiLevelType w:val="multilevel"/>
    <w:tmpl w:val="CDF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426DE1"/>
    <w:multiLevelType w:val="multilevel"/>
    <w:tmpl w:val="CDF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556FC4"/>
    <w:multiLevelType w:val="multilevel"/>
    <w:tmpl w:val="CDF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CF"/>
    <w:rsid w:val="00794A56"/>
    <w:rsid w:val="00E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AE35F-FB97-440C-A4AC-302B6620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25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25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5C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25CC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E25CCF"/>
    <w:rPr>
      <w:i/>
      <w:iCs/>
    </w:rPr>
  </w:style>
  <w:style w:type="paragraph" w:customStyle="1" w:styleId="p1">
    <w:name w:val="p1"/>
    <w:basedOn w:val="Normal"/>
    <w:rsid w:val="00E2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">
    <w:name w:val="s1"/>
    <w:basedOn w:val="VarsaylanParagrafYazTipi"/>
    <w:rsid w:val="00E25CCF"/>
  </w:style>
  <w:style w:type="character" w:customStyle="1" w:styleId="apple-converted-space">
    <w:name w:val="apple-converted-space"/>
    <w:basedOn w:val="VarsaylanParagrafYazTipi"/>
    <w:rsid w:val="00E2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651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9530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02342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4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90448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51759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84178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15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30876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702980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9426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34019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24388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377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2023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3753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7582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6129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35333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30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35837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013480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0022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39439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938</Words>
  <Characters>5350</Characters>
  <Application>Microsoft Office Word</Application>
  <DocSecurity>0</DocSecurity>
  <Lines>44</Lines>
  <Paragraphs>12</Paragraphs>
  <ScaleCrop>false</ScaleCrop>
  <Company>SilentAll Team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NEŞE</cp:lastModifiedBy>
  <cp:revision>1</cp:revision>
  <dcterms:created xsi:type="dcterms:W3CDTF">2016-05-02T15:15:00Z</dcterms:created>
  <dcterms:modified xsi:type="dcterms:W3CDTF">2016-05-02T15:20:00Z</dcterms:modified>
</cp:coreProperties>
</file>